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15" w:lineRule="atLeast"/>
        <w:ind w:left="0" w:right="0" w:firstLine="0"/>
        <w:jc w:val="both"/>
        <w:rPr>
          <w:rFonts w:hint="default" w:ascii="Times New Roman" w:hAnsi="Times New Roman" w:eastAsia="Arial" w:cs="Times New Roman"/>
          <w:b w:val="0"/>
          <w:bCs w:val="0"/>
          <w:i w:val="0"/>
          <w:iCs w:val="0"/>
          <w:caps w:val="0"/>
          <w:color w:val="000000"/>
          <w:spacing w:val="0"/>
          <w:sz w:val="24"/>
          <w:szCs w:val="24"/>
        </w:rPr>
      </w:pPr>
      <w:bookmarkStart w:id="0" w:name="_GoBack"/>
      <w:r>
        <w:rPr>
          <w:rFonts w:hint="default" w:ascii="Times New Roman" w:hAnsi="Times New Roman" w:eastAsia="Arial" w:cs="Times New Roman"/>
          <w:b w:val="0"/>
          <w:bCs w:val="0"/>
          <w:i w:val="0"/>
          <w:iCs w:val="0"/>
          <w:caps w:val="0"/>
          <w:color w:val="000000"/>
          <w:spacing w:val="0"/>
          <w:sz w:val="24"/>
          <w:szCs w:val="24"/>
          <w:shd w:val="clear" w:fill="FFFFFF"/>
        </w:rPr>
        <w:t>Ответственность за травлю (буллинг)</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Проявление агрессии, в том числе физическое насилие, унижение, издевательство в отношении обучающегося образовательной организации со стороны других обучающихся и (или) учителей, именуется буллингом. Травля, издевательство, носящие систематический характер, с использованием информационно-телекоммуникационной сети Интернет называются кибербуллингом. Данные правонарушения влекут ответственность, предусмотренную законодательством РФ.</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Определения такого правонарушения, как буллинг (травля), законодательство РФ не содержит, но действия, составляющие объективную сторону буллинга (травли), можно квалифицировать по нескольким статьям КоАП РФ и УК РФ.</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Кроме того, за буллинг (травлю) может наступить гражданско-правовая ответственность.</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u w:val="single"/>
          <w:shd w:val="clear" w:fill="FFFFFF"/>
        </w:rPr>
        <w:t>Уголовная ответственность</w:t>
      </w:r>
      <w:r>
        <w:rPr>
          <w:rFonts w:hint="default" w:ascii="Times New Roman" w:hAnsi="Times New Roman" w:eastAsia="Arial" w:cs="Times New Roman"/>
          <w:i w:val="0"/>
          <w:iCs w:val="0"/>
          <w:caps w:val="0"/>
          <w:color w:val="000000"/>
          <w:spacing w:val="0"/>
          <w:sz w:val="24"/>
          <w:szCs w:val="24"/>
          <w:shd w:val="clear" w:fill="FFFFFF"/>
        </w:rPr>
        <w:t>.</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Уголовная ответственность за буллинг (травлю) может наступить в соответствии со ст. 213 УК РФ.</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Указанные действия могут повлечь наказание в виде штрафа, обязательных или принудительных работ, ареста, а также лишения свободы. Согласно ч. 1 ст. 213 УК РФ можно привлечь к ответственности за хулиганство, то есть грубое нарушение общественного порядка, выражающее явное неуважение к обществу, совершенное:</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 с применением насилия к гражданам либо угрозой его применения;</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 по мотивам политической, идеологической, расовой, национальной или религиозной социальной группы.</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Указанные действия могут повлечь наказание в виде штрафа, обязательных, исправительных или принудительных работ, а также лишения свободы.</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Уголовной ответственности подлежит лицо, достигшее ко времени совершения преступления шестнадцатилетнего возраста, а за совершение хулиганства при отягчающих обстоятельствах (ч. 2 ст. 213 УК РФ) - с 14 лет (ч. 1, 2 ст. 20 УК РФ).</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Буллинг, совершенный с использованием сети Интернет, называется кибербуллингом, т.е. кибербуллинг - травля, издевательство, носящие систематический характер, с использованием информационно-телекоммуникационной сети Интернет.</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Под кибербуллингом (или виртуальным издевательством) понимается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Кибербуллинг имеет различные формы, которые отличаются друг от друга:</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 исключение, когда человека не принимают в коллектив либо группу закрытого интернет-пространства, например, такими могут выступать чаты, форумы, сообщества в социальных сетях;</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 флейминг, что означает "спор ради спора", где присутствуют все методы сетевого общения: чаты, форумы и социальные сети. Суть заключается в разногласиях, спорах и дискуссиях, что в дальнейшем переходит на личности. К флеймингу относятся жесткие высказывания, непонятные шутки, критика умственных способностей собеседника, а также оскорбления и унижения;</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 харассмент, что означает «раздражать или расстраивать кого-либо». Данный вид характеризуется регулярными оскорблениями и гневными сообщениями, которые адресуются конкретному человеку. Харассмент основывается на предвзятости к национальности, полу, возрасту и вероисповеданию.</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К уголовной ответственности за кибербуллинг лицо может быть привлечено по ст. 128.1 УК РФ за клевету, ст. 137 УК РФ за нарушение неприкосновенности частной жизни, ст. 119 УК РФ за угрозу убийством или причинением тяжкого вреда здоровью.</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В соответствии с ч. 1, 2 ст. 128.1 УК РФ можно привлечь к ответственности за клевету, то есть распространение заведомо ложных сведений, порочащих честь и достоинство другого лица или подрывающих его репутацию, а также за клевету, содержащуюся в публичном выступлении, публично демонстрирующемся произведении, средствах массовой информации либо совершенную публично с использованием информационно-телекоммуникационных сетей, включая сеть Интернет.</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Кибербуллинг, сопряженный с угрозами убийством или причинением тяжкого вреда здоровью, влечет ответственность по ст. 119 УК РФ при условии, что потерпевший должен реально опасаться высказанных в отношении него угроз.</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Кибербуллинг, заключающийся в доведении жертвы интернет-травли до самоубийства или в склонении к совершению самоубийства, влечет ответственность по ст. ст. 110 - 110.1 УК РФ.</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Кибербуллинг, сопровождающийся взломом принадлежащих потерпевшему электронной почты, аккаунтов в социальных сетях, после чего правонарушителем для обозрения в целях публичного унижения жертвы распространяются материалы личного, в т.ч. интимного, характера, преследуется по ст. 138 УК РФ (нарушение тайны переписки и иных сообщений), а также по ст. 272 УК РФ за совершение неправомерного доступа к компьютерной информации.</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Кибербуллинг в отношении вероисповедания может повлечь ответственность по ст. 148 УК РФ (нарушение права на свободу совести и вероисповеданий) за публичные действия, выражающие явное неуважение к обществу и совершенные в целях оскорбления религиозных чувств верующих.</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u w:val="single"/>
          <w:shd w:val="clear" w:fill="FFFFFF"/>
        </w:rPr>
        <w:t>Административная ответственность.</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Административная ответственность за действия, составляющие объективную сторону буллинга (травли), установлена ст. ст. 5.61, 5.61.1, 20.1 КоАП РФ.</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В соответствии с ч. 1, 2 ст. 5.61 КоАП РФ лицо может быть привлечено к ответственности за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а также за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По ст. 5.61.1 КоАП РФ можно привлечь к ответственности за клевету, то есть распространение заведомо ложных сведений, порочащих честь и достоинство другого лица или подрывающих его репутацию.</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На основании ст. 20.1 КоАП РФ возможно привлечение к ответственности за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а также за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Указанные действия могут повлечь наложение административного штрафа или административный арест.</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Административной ответственности подлежит лицо, достигшее к моменту совершения административного правонарушения возраста 16 лет (ч. 1 ст. 2.3 КоАП РФ).</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u w:val="single"/>
          <w:shd w:val="clear" w:fill="FFFFFF"/>
        </w:rPr>
        <w:t>Гражданская ответственность.</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Потерпевший (жертва буллинга) под воздействием агрессора также получает травмы психологического характера - неуверенность в себе, стыд и т.п. То есть последствия буллинга выражаются в нанесении морального вреда, который тоже надлежит компенсировать.</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В силу ч. 1 ст. 152 ГК РФ гражданин, в отношении которого были распространены сведения, порочащие его честь, достоинство и деловую репутацию, вправе требовать в суде опровержения таких сведений. А если такие сведения причинили гражданину нравственные или физические страдания, то суд может возложить на нарушителя обязанность денежной компенсации (ч. 1 ст. 151 ГК РФ). С учетом специфики субъектного состава данного правонарушения, если лицо подверглось буллингу и оно не достигло 14-летнего возраста, иск в суд могут предъявить законные представители несовершеннолетнего лица. Право на самостоятельное обращение в суд за защитой своих законных прав и интересов ребенок приобретает по достижении 14 лет.</w:t>
      </w:r>
    </w:p>
    <w:p>
      <w:pPr>
        <w:pStyle w:val="5"/>
        <w:keepNext w:val="0"/>
        <w:keepLines w:val="0"/>
        <w:widowControl/>
        <w:suppressLineNumbers w:val="0"/>
        <w:spacing w:before="150" w:beforeAutospacing="0" w:after="150" w:afterAutospacing="0" w:line="210" w:lineRule="atLeast"/>
        <w:ind w:left="0" w:right="0"/>
        <w:jc w:val="both"/>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shd w:val="clear" w:fill="FFFFFF"/>
        </w:rPr>
        <w:t>Поведение, которое допускает лицо, совершающее буллинг, явно свидетельствует о недостатке воспитания, нарушении жизненных ориентиров и ценностей, пониженной самооценке и ряде других нарушений психологического и морального характера.</w:t>
      </w:r>
    </w:p>
    <w:p>
      <w:pPr>
        <w:jc w:val="both"/>
        <w:rPr>
          <w:rFonts w:hint="default" w:ascii="Times New Roman" w:hAnsi="Times New Roman" w:cs="Times New Roman"/>
          <w:sz w:val="24"/>
          <w:szCs w:val="24"/>
        </w:rPr>
      </w:pP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5D7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basedOn w:val="1"/>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2025-04-29T00:22:55Z</dcterms:created>
  <dc:creator>IRINA</dc:creator>
  <cp:lastModifiedBy>IRINA</cp:lastModifiedBy>
  <dcterms:modified xsi:type="dcterms:W3CDTF">2025-04-29T00:23:32Z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CE407C497EEC41F8A65FC4B19F16300C_12</vt:lpwstr>
  </property>
</Properties>
</file>